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before="0" w:after="40"/>
        <w:jc w:val="left"/>
      </w:pPr>
      <w:r>
        <w:rPr>
          <w:rFonts w:ascii="Arial" w:hAnsi="Arial"/>
          <w:b/>
          <w:color w:val="17365D"/>
          <w:sz w:val="36"/>
        </w:rPr>
        <w:t>BizExchangeX Vendor Participation Agreement</w:t>
      </w:r>
    </w:p>
    <w:p>
      <w:pPr>
        <w:keepNext/>
        <w:spacing w:after="20"/>
      </w:pPr>
      <w:r>
        <w:rPr>
          <w:rFonts w:ascii="Arial" w:hAnsi="Arial"/>
          <w:b/>
          <w:color w:val="2F5597"/>
          <w:sz w:val="23"/>
        </w:rPr>
        <w:t>Schedule C | Direct Vendor, Distributor, and Carrier Commission</w:t>
      </w:r>
    </w:p>
    <w:p>
      <w:pPr>
        <w:keepNext/>
        <w:spacing w:after="160"/>
      </w:pPr>
      <w:r>
        <w:rPr>
          <w:rFonts w:ascii="Arial" w:hAnsi="Arial"/>
          <w:b/>
          <w:color w:val="666666"/>
          <w:sz w:val="17"/>
        </w:rPr>
        <w:t>Version 2</w:t>
      </w:r>
    </w:p>
    <w:p>
      <w:pPr>
        <w:widowControl/>
        <w:spacing w:after="60" w:line="250" w:lineRule="auto"/>
      </w:pPr>
      <w:r>
        <w:rPr>
          <w:rFonts w:ascii="Arial" w:hAnsi="Arial"/>
          <w:sz w:val="18"/>
        </w:rPr>
        <w:t>This Schedule is incorporated into the BizExchangeX Master Vendor Participation Agreement (the "Master Agreement"). Capitalized terms not defined here have the meanings in the Master Agreement.</w:t>
      </w:r>
    </w:p>
    <w:p>
      <w:pPr>
        <w:pStyle w:val="Heading1"/>
      </w:pPr>
      <w:r>
        <w:rPr>
          <w:rFonts w:ascii="Arial" w:hAnsi="Arial"/>
          <w:b/>
          <w:color w:val="17365D"/>
          <w:sz w:val="22"/>
        </w:rPr>
        <w:t>1. Eligibility</w:t>
      </w:r>
    </w:p>
    <w:p>
      <w:pPr>
        <w:widowControl/>
        <w:spacing w:after="60" w:line="250" w:lineRule="auto"/>
      </w:pPr>
      <w:r>
        <w:rPr>
          <w:rFonts w:ascii="Arial" w:hAnsi="Arial"/>
          <w:sz w:val="18"/>
        </w:rPr>
        <w:t>This Schedule applies to an approved direct supplier, carrier, distributor, manufacturer, technology-services distributor, master agent, or similar channel relationship in which an underlying supplier or channel agreement controls some or all compensation.</w:t>
      </w:r>
    </w:p>
    <w:p>
      <w:pPr>
        <w:pStyle w:val="Heading1"/>
      </w:pPr>
      <w:r>
        <w:rPr>
          <w:rFonts w:ascii="Arial" w:hAnsi="Arial"/>
          <w:b/>
          <w:color w:val="17365D"/>
          <w:sz w:val="22"/>
        </w:rPr>
        <w:t>2. Incorporated compensation source</w:t>
      </w:r>
    </w:p>
    <w:p>
      <w:pPr>
        <w:widowControl/>
        <w:spacing w:after="60" w:line="250" w:lineRule="auto"/>
      </w:pPr>
      <w:r>
        <w:rPr>
          <w:rFonts w:ascii="Arial" w:hAnsi="Arial"/>
          <w:sz w:val="18"/>
        </w:rPr>
        <w:t>2.1 The Commission basis, rate, timing, and eligibility rules are those identified in the completed Commercial Terms Record below and supported by the referenced underlying agreement or rate table.</w:t>
      </w:r>
    </w:p>
    <w:p>
      <w:pPr>
        <w:widowControl/>
        <w:spacing w:after="60" w:line="250" w:lineRule="auto"/>
      </w:pPr>
      <w:r>
        <w:rPr>
          <w:rFonts w:ascii="Arial" w:hAnsi="Arial"/>
          <w:sz w:val="18"/>
        </w:rPr>
        <w:t>2.2 An underlying agreement binds BEX only to the extent its specific compensation provisions are identified in the Commercial Terms Record, are legally available to BEX, and are included in the immutable Schedule snapshot.</w:t>
      </w:r>
    </w:p>
    <w:p>
      <w:pPr>
        <w:widowControl/>
        <w:spacing w:after="60" w:line="250" w:lineRule="auto"/>
      </w:pPr>
      <w:r>
        <w:rPr>
          <w:rFonts w:ascii="Arial" w:hAnsi="Arial"/>
          <w:sz w:val="18"/>
        </w:rPr>
        <w:t>2.3 If the underlying agreement changes, expires, is suspended, or is replaced, Vendor must notify BEX within five business days. A material compensation change requires BEX approval and a new published Schedule version or amendment before it applies.</w:t>
      </w:r>
    </w:p>
    <w:p>
      <w:pPr>
        <w:pStyle w:val="Heading1"/>
      </w:pPr>
      <w:r>
        <w:rPr>
          <w:rFonts w:ascii="Arial" w:hAnsi="Arial"/>
          <w:b/>
          <w:color w:val="17365D"/>
          <w:sz w:val="22"/>
        </w:rPr>
        <w:t>3. Commercial Terms Record</w:t>
      </w:r>
    </w:p>
    <w:p>
      <w:pPr>
        <w:widowControl/>
        <w:spacing w:after="60" w:line="250" w:lineRule="auto"/>
      </w:pPr>
      <w:r>
        <w:rPr>
          <w:rFonts w:ascii="Arial" w:hAnsi="Arial"/>
          <w:sz w:val="18"/>
        </w:rPr>
        <w:t>The following fields must be completed before publication or execution:</w:t>
      </w:r>
    </w:p>
    <w:tbl>
      <w:tblPr>
        <w:tblStyle w:val="TableGrid"/>
        <w:tblW w:type="dxa" w:w="9993"/>
        <w:jc w:val="left"/>
        <w:tblLayout w:type="fixed"/>
        <w:tblLook w:firstColumn="1" w:firstRow="1" w:lastColumn="0" w:lastRow="0" w:noHBand="0" w:noVBand="1" w:val="04A0"/>
        <w:tblInd w:w="0" w:type="dxa"/>
      </w:tblPr>
      <w:tblGrid>
        <w:gridCol w:w="3427"/>
        <w:gridCol w:w="6566"/>
      </w:tblGrid>
      <w:tr>
        <w:trPr>
          <w:tblHeader w:val="true"/>
        </w:trPr>
        <w:tc>
          <w:tcPr>
            <w:tcW w:type="dxa" w:w="3427"/>
            <w:vAlign w:val="center"/>
            <w:tcMar>
              <w:top w:w="90" w:type="dxa"/>
              <w:start w:w="110" w:type="dxa"/>
              <w:bottom w:w="90" w:type="dxa"/>
              <w:end w:w="110" w:type="dxa"/>
            </w:tcMar>
            <w:shd w:fill="17365D"/>
          </w:tcPr>
          <w:p>
            <w:pPr>
              <w:spacing w:after="0" w:line="240" w:lineRule="auto"/>
              <w:jc w:val="left"/>
            </w:pPr>
            <w:r>
              <w:rPr>
                <w:rFonts w:ascii="Arial" w:hAnsi="Arial"/>
                <w:b/>
                <w:color w:val="FFFFFF"/>
                <w:sz w:val="15"/>
              </w:rPr>
              <w:t>Field</w:t>
            </w:r>
          </w:p>
        </w:tc>
        <w:tc>
          <w:tcPr>
            <w:tcW w:type="dxa" w:w="6566"/>
            <w:vAlign w:val="center"/>
            <w:tcMar>
              <w:top w:w="90" w:type="dxa"/>
              <w:start w:w="110" w:type="dxa"/>
              <w:bottom w:w="90" w:type="dxa"/>
              <w:end w:w="110" w:type="dxa"/>
            </w:tcMar>
            <w:shd w:fill="17365D"/>
          </w:tcPr>
          <w:p>
            <w:pPr>
              <w:spacing w:after="0" w:line="240" w:lineRule="auto"/>
              <w:jc w:val="left"/>
            </w:pPr>
            <w:r>
              <w:rPr>
                <w:rFonts w:ascii="Arial" w:hAnsi="Arial"/>
                <w:b/>
                <w:color w:val="FFFFFF"/>
                <w:sz w:val="15"/>
              </w:rPr>
              <w:t>Required value</w:t>
            </w:r>
          </w:p>
        </w:tc>
      </w:tr>
      <w:tr>
        <w:tc>
          <w:tcPr>
            <w:tcW w:type="dxa" w:w="3427"/>
            <w:vAlign w:val="center"/>
            <w:tcMar>
              <w:top w:w="90" w:type="dxa"/>
              <w:start w:w="110" w:type="dxa"/>
              <w:bottom w:w="90" w:type="dxa"/>
              <w:end w:w="110" w:type="dxa"/>
            </w:tcMar>
          </w:tcPr>
          <w:p>
            <w:pPr>
              <w:spacing w:after="0" w:line="240" w:lineRule="auto"/>
              <w:jc w:val="left"/>
            </w:pPr>
            <w:r>
              <w:rPr>
                <w:rFonts w:ascii="Arial" w:hAnsi="Arial"/>
                <w:b w:val="0"/>
                <w:sz w:val="15"/>
              </w:rPr>
              <w:t>Vendor relationship type</w:t>
            </w:r>
          </w:p>
        </w:tc>
        <w:tc>
          <w:tcPr>
            <w:tcW w:type="dxa" w:w="6566"/>
            <w:vAlign w:val="center"/>
            <w:tcMar>
              <w:top w:w="90" w:type="dxa"/>
              <w:start w:w="110" w:type="dxa"/>
              <w:bottom w:w="90" w:type="dxa"/>
              <w:end w:w="110" w:type="dxa"/>
            </w:tcMar>
          </w:tcPr>
          <w:p>
            <w:pPr>
              <w:spacing w:after="0" w:line="240" w:lineRule="auto"/>
              <w:jc w:val="left"/>
            </w:pPr>
            <w:r>
              <w:rPr>
                <w:rFonts w:ascii="Arial" w:hAnsi="Arial"/>
                <w:b w:val="0"/>
                <w:sz w:val="15"/>
              </w:rPr>
              <w:t>Direct supplier / carrier / distributor / manufacturer / TSD / master agent / other</w:t>
            </w:r>
          </w:p>
        </w:tc>
      </w:tr>
      <w:tr>
        <w:tc>
          <w:tcPr>
            <w:tcW w:type="dxa" w:w="3427"/>
            <w:vAlign w:val="center"/>
            <w:tcMar>
              <w:top w:w="90" w:type="dxa"/>
              <w:start w:w="110" w:type="dxa"/>
              <w:bottom w:w="90" w:type="dxa"/>
              <w:end w:w="110" w:type="dxa"/>
            </w:tcMar>
            <w:shd w:fill="F4F7FA"/>
          </w:tcPr>
          <w:p>
            <w:pPr>
              <w:spacing w:after="0" w:line="240" w:lineRule="auto"/>
              <w:jc w:val="left"/>
            </w:pPr>
            <w:r>
              <w:rPr>
                <w:rFonts w:ascii="Arial" w:hAnsi="Arial"/>
                <w:b w:val="0"/>
                <w:sz w:val="15"/>
              </w:rPr>
              <w:t>Underlying agreement legal parties</w:t>
            </w:r>
          </w:p>
        </w:tc>
        <w:tc>
          <w:tcPr>
            <w:tcW w:type="dxa" w:w="6566"/>
            <w:vAlign w:val="center"/>
            <w:tcMar>
              <w:top w:w="90" w:type="dxa"/>
              <w:start w:w="110" w:type="dxa"/>
              <w:bottom w:w="90" w:type="dxa"/>
              <w:end w:w="110" w:type="dxa"/>
            </w:tcMar>
            <w:shd w:fill="F4F7FA"/>
          </w:tcPr>
          <w:p>
            <w:pPr>
              <w:spacing w:after="0" w:line="240" w:lineRule="auto"/>
              <w:jc w:val="left"/>
            </w:pPr>
            <w:r>
              <w:rPr>
                <w:rFonts w:ascii="Arial" w:hAnsi="Arial"/>
                <w:b w:val="0"/>
                <w:sz w:val="15"/>
              </w:rPr>
              <w:t>Exact legal names</w:t>
            </w:r>
          </w:p>
        </w:tc>
      </w:tr>
      <w:tr>
        <w:tc>
          <w:tcPr>
            <w:tcW w:type="dxa" w:w="3427"/>
            <w:vAlign w:val="center"/>
            <w:tcMar>
              <w:top w:w="90" w:type="dxa"/>
              <w:start w:w="110" w:type="dxa"/>
              <w:bottom w:w="90" w:type="dxa"/>
              <w:end w:w="110" w:type="dxa"/>
            </w:tcMar>
          </w:tcPr>
          <w:p>
            <w:pPr>
              <w:spacing w:after="0" w:line="240" w:lineRule="auto"/>
              <w:jc w:val="left"/>
            </w:pPr>
            <w:r>
              <w:rPr>
                <w:rFonts w:ascii="Arial" w:hAnsi="Arial"/>
                <w:b w:val="0"/>
                <w:sz w:val="15"/>
              </w:rPr>
              <w:t>Underlying agreement title and identifier</w:t>
            </w:r>
          </w:p>
        </w:tc>
        <w:tc>
          <w:tcPr>
            <w:tcW w:type="dxa" w:w="6566"/>
            <w:vAlign w:val="center"/>
            <w:tcMar>
              <w:top w:w="90" w:type="dxa"/>
              <w:start w:w="110" w:type="dxa"/>
              <w:bottom w:w="90" w:type="dxa"/>
              <w:end w:w="110" w:type="dxa"/>
            </w:tcMar>
          </w:tcPr>
          <w:p>
            <w:pPr>
              <w:spacing w:after="0" w:line="240" w:lineRule="auto"/>
              <w:jc w:val="left"/>
            </w:pPr>
            <w:r>
              <w:rPr>
                <w:rFonts w:ascii="Arial" w:hAnsi="Arial"/>
                <w:b w:val="0"/>
                <w:sz w:val="15"/>
              </w:rPr>
              <w:t>Exact title and reference</w:t>
            </w:r>
          </w:p>
        </w:tc>
      </w:tr>
      <w:tr>
        <w:tc>
          <w:tcPr>
            <w:tcW w:type="dxa" w:w="3427"/>
            <w:vAlign w:val="center"/>
            <w:tcMar>
              <w:top w:w="90" w:type="dxa"/>
              <w:start w:w="110" w:type="dxa"/>
              <w:bottom w:w="90" w:type="dxa"/>
              <w:end w:w="110" w:type="dxa"/>
            </w:tcMar>
            <w:shd w:fill="F4F7FA"/>
          </w:tcPr>
          <w:p>
            <w:pPr>
              <w:spacing w:after="0" w:line="240" w:lineRule="auto"/>
              <w:jc w:val="left"/>
            </w:pPr>
            <w:r>
              <w:rPr>
                <w:rFonts w:ascii="Arial" w:hAnsi="Arial"/>
                <w:b w:val="0"/>
                <w:sz w:val="15"/>
              </w:rPr>
              <w:t>Effective and expiration dates</w:t>
            </w:r>
          </w:p>
        </w:tc>
        <w:tc>
          <w:tcPr>
            <w:tcW w:type="dxa" w:w="6566"/>
            <w:vAlign w:val="center"/>
            <w:tcMar>
              <w:top w:w="90" w:type="dxa"/>
              <w:start w:w="110" w:type="dxa"/>
              <w:bottom w:w="90" w:type="dxa"/>
              <w:end w:w="110" w:type="dxa"/>
            </w:tcMar>
            <w:shd w:fill="F4F7FA"/>
          </w:tcPr>
          <w:p>
            <w:pPr>
              <w:spacing w:after="0" w:line="240" w:lineRule="auto"/>
              <w:jc w:val="left"/>
            </w:pPr>
            <w:r>
              <w:rPr>
                <w:rFonts w:ascii="Arial" w:hAnsi="Arial"/>
                <w:b w:val="0"/>
                <w:sz w:val="15"/>
              </w:rPr>
              <w:t>Dates and renewal terms</w:t>
            </w:r>
          </w:p>
        </w:tc>
      </w:tr>
      <w:tr>
        <w:tc>
          <w:tcPr>
            <w:tcW w:type="dxa" w:w="3427"/>
            <w:vAlign w:val="center"/>
            <w:tcMar>
              <w:top w:w="90" w:type="dxa"/>
              <w:start w:w="110" w:type="dxa"/>
              <w:bottom w:w="90" w:type="dxa"/>
              <w:end w:w="110" w:type="dxa"/>
            </w:tcMar>
          </w:tcPr>
          <w:p>
            <w:pPr>
              <w:spacing w:after="0" w:line="240" w:lineRule="auto"/>
              <w:jc w:val="left"/>
            </w:pPr>
            <w:r>
              <w:rPr>
                <w:rFonts w:ascii="Arial" w:hAnsi="Arial"/>
                <w:b w:val="0"/>
                <w:sz w:val="15"/>
              </w:rPr>
              <w:t>Compensation recipient</w:t>
            </w:r>
          </w:p>
        </w:tc>
        <w:tc>
          <w:tcPr>
            <w:tcW w:type="dxa" w:w="6566"/>
            <w:vAlign w:val="center"/>
            <w:tcMar>
              <w:top w:w="90" w:type="dxa"/>
              <w:start w:w="110" w:type="dxa"/>
              <w:bottom w:w="90" w:type="dxa"/>
              <w:end w:w="110" w:type="dxa"/>
            </w:tcMar>
          </w:tcPr>
          <w:p>
            <w:pPr>
              <w:spacing w:after="0" w:line="240" w:lineRule="auto"/>
              <w:jc w:val="left"/>
            </w:pPr>
            <w:r>
              <w:rPr>
                <w:rFonts w:ascii="Arial" w:hAnsi="Arial"/>
                <w:b w:val="0"/>
                <w:sz w:val="15"/>
              </w:rPr>
              <w:t>BEX or authorized upstream payor</w:t>
            </w:r>
          </w:p>
        </w:tc>
      </w:tr>
      <w:tr>
        <w:tc>
          <w:tcPr>
            <w:tcW w:type="dxa" w:w="3427"/>
            <w:vAlign w:val="center"/>
            <w:tcMar>
              <w:top w:w="90" w:type="dxa"/>
              <w:start w:w="110" w:type="dxa"/>
              <w:bottom w:w="90" w:type="dxa"/>
              <w:end w:w="110" w:type="dxa"/>
            </w:tcMar>
            <w:shd w:fill="F4F7FA"/>
          </w:tcPr>
          <w:p>
            <w:pPr>
              <w:spacing w:after="0" w:line="240" w:lineRule="auto"/>
              <w:jc w:val="left"/>
            </w:pPr>
            <w:r>
              <w:rPr>
                <w:rFonts w:ascii="Arial" w:hAnsi="Arial"/>
                <w:b w:val="0"/>
                <w:sz w:val="15"/>
              </w:rPr>
              <w:t>Commission method</w:t>
            </w:r>
          </w:p>
        </w:tc>
        <w:tc>
          <w:tcPr>
            <w:tcW w:type="dxa" w:w="6566"/>
            <w:vAlign w:val="center"/>
            <w:tcMar>
              <w:top w:w="90" w:type="dxa"/>
              <w:start w:w="110" w:type="dxa"/>
              <w:bottom w:w="90" w:type="dxa"/>
              <w:end w:w="110" w:type="dxa"/>
            </w:tcMar>
            <w:shd w:fill="F4F7FA"/>
          </w:tcPr>
          <w:p>
            <w:pPr>
              <w:spacing w:after="0" w:line="240" w:lineRule="auto"/>
              <w:jc w:val="left"/>
            </w:pPr>
            <w:r>
              <w:rPr>
                <w:rFonts w:ascii="Arial" w:hAnsi="Arial"/>
                <w:b w:val="0"/>
                <w:sz w:val="15"/>
              </w:rPr>
              <w:t>Percentage / fixed / residual / incentive / rate table</w:t>
            </w:r>
          </w:p>
        </w:tc>
      </w:tr>
      <w:tr>
        <w:tc>
          <w:tcPr>
            <w:tcW w:type="dxa" w:w="3427"/>
            <w:vAlign w:val="center"/>
            <w:tcMar>
              <w:top w:w="90" w:type="dxa"/>
              <w:start w:w="110" w:type="dxa"/>
              <w:bottom w:w="90" w:type="dxa"/>
              <w:end w:w="110" w:type="dxa"/>
            </w:tcMar>
          </w:tcPr>
          <w:p>
            <w:pPr>
              <w:spacing w:after="0" w:line="240" w:lineRule="auto"/>
              <w:jc w:val="left"/>
            </w:pPr>
            <w:r>
              <w:rPr>
                <w:rFonts w:ascii="Arial" w:hAnsi="Arial"/>
                <w:b w:val="0"/>
                <w:sz w:val="15"/>
              </w:rPr>
              <w:t>Calculation basis</w:t>
            </w:r>
          </w:p>
        </w:tc>
        <w:tc>
          <w:tcPr>
            <w:tcW w:type="dxa" w:w="6566"/>
            <w:vAlign w:val="center"/>
            <w:tcMar>
              <w:top w:w="90" w:type="dxa"/>
              <w:start w:w="110" w:type="dxa"/>
              <w:bottom w:w="90" w:type="dxa"/>
              <w:end w:w="110" w:type="dxa"/>
            </w:tcMar>
          </w:tcPr>
          <w:p>
            <w:pPr>
              <w:spacing w:after="0" w:line="240" w:lineRule="auto"/>
              <w:jc w:val="left"/>
            </w:pPr>
            <w:r>
              <w:rPr>
                <w:rFonts w:ascii="Arial" w:hAnsi="Arial"/>
                <w:b w:val="0"/>
                <w:sz w:val="15"/>
              </w:rPr>
              <w:t>Exact revenue, profit, product, unit, or other basis</w:t>
            </w:r>
          </w:p>
        </w:tc>
      </w:tr>
      <w:tr>
        <w:tc>
          <w:tcPr>
            <w:tcW w:type="dxa" w:w="3427"/>
            <w:vAlign w:val="center"/>
            <w:tcMar>
              <w:top w:w="90" w:type="dxa"/>
              <w:start w:w="110" w:type="dxa"/>
              <w:bottom w:w="90" w:type="dxa"/>
              <w:end w:w="110" w:type="dxa"/>
            </w:tcMar>
            <w:shd w:fill="F4F7FA"/>
          </w:tcPr>
          <w:p>
            <w:pPr>
              <w:spacing w:after="0" w:line="240" w:lineRule="auto"/>
              <w:jc w:val="left"/>
            </w:pPr>
            <w:r>
              <w:rPr>
                <w:rFonts w:ascii="Arial" w:hAnsi="Arial"/>
                <w:b w:val="0"/>
                <w:sz w:val="15"/>
              </w:rPr>
              <w:t>Rate or rate-table version</w:t>
            </w:r>
          </w:p>
        </w:tc>
        <w:tc>
          <w:tcPr>
            <w:tcW w:type="dxa" w:w="6566"/>
            <w:vAlign w:val="center"/>
            <w:tcMar>
              <w:top w:w="90" w:type="dxa"/>
              <w:start w:w="110" w:type="dxa"/>
              <w:bottom w:w="90" w:type="dxa"/>
              <w:end w:w="110" w:type="dxa"/>
            </w:tcMar>
            <w:shd w:fill="F4F7FA"/>
          </w:tcPr>
          <w:p>
            <w:pPr>
              <w:spacing w:after="0" w:line="240" w:lineRule="auto"/>
              <w:jc w:val="left"/>
            </w:pPr>
            <w:r>
              <w:rPr>
                <w:rFonts w:ascii="Arial" w:hAnsi="Arial"/>
                <w:b w:val="0"/>
                <w:sz w:val="15"/>
              </w:rPr>
              <w:t>Exact rate or immutable attachment reference</w:t>
            </w:r>
          </w:p>
        </w:tc>
      </w:tr>
      <w:tr>
        <w:tc>
          <w:tcPr>
            <w:tcW w:type="dxa" w:w="3427"/>
            <w:vAlign w:val="center"/>
            <w:tcMar>
              <w:top w:w="90" w:type="dxa"/>
              <w:start w:w="110" w:type="dxa"/>
              <w:bottom w:w="90" w:type="dxa"/>
              <w:end w:w="110" w:type="dxa"/>
            </w:tcMar>
          </w:tcPr>
          <w:p>
            <w:pPr>
              <w:spacing w:after="0" w:line="240" w:lineRule="auto"/>
              <w:jc w:val="left"/>
            </w:pPr>
            <w:r>
              <w:rPr>
                <w:rFonts w:ascii="Arial" w:hAnsi="Arial"/>
                <w:b w:val="0"/>
                <w:sz w:val="15"/>
              </w:rPr>
              <w:t>Earning trigger</w:t>
            </w:r>
          </w:p>
        </w:tc>
        <w:tc>
          <w:tcPr>
            <w:tcW w:type="dxa" w:w="6566"/>
            <w:vAlign w:val="center"/>
            <w:tcMar>
              <w:top w:w="90" w:type="dxa"/>
              <w:start w:w="110" w:type="dxa"/>
              <w:bottom w:w="90" w:type="dxa"/>
              <w:end w:w="110" w:type="dxa"/>
            </w:tcMar>
          </w:tcPr>
          <w:p>
            <w:pPr>
              <w:spacing w:after="0" w:line="240" w:lineRule="auto"/>
              <w:jc w:val="left"/>
            </w:pPr>
            <w:r>
              <w:rPr>
                <w:rFonts w:ascii="Arial" w:hAnsi="Arial"/>
                <w:b w:val="0"/>
                <w:sz w:val="15"/>
              </w:rPr>
              <w:t>Order / activation / customer payment / supplier acceptance / other</w:t>
            </w:r>
          </w:p>
        </w:tc>
      </w:tr>
      <w:tr>
        <w:tc>
          <w:tcPr>
            <w:tcW w:type="dxa" w:w="3427"/>
            <w:vAlign w:val="center"/>
            <w:tcMar>
              <w:top w:w="90" w:type="dxa"/>
              <w:start w:w="110" w:type="dxa"/>
              <w:bottom w:w="90" w:type="dxa"/>
              <w:end w:w="110" w:type="dxa"/>
            </w:tcMar>
            <w:shd w:fill="F4F7FA"/>
          </w:tcPr>
          <w:p>
            <w:pPr>
              <w:spacing w:after="0" w:line="240" w:lineRule="auto"/>
              <w:jc w:val="left"/>
            </w:pPr>
            <w:r>
              <w:rPr>
                <w:rFonts w:ascii="Arial" w:hAnsi="Arial"/>
                <w:b w:val="0"/>
                <w:sz w:val="15"/>
              </w:rPr>
              <w:t>Payment trigger and timing</w:t>
            </w:r>
          </w:p>
        </w:tc>
        <w:tc>
          <w:tcPr>
            <w:tcW w:type="dxa" w:w="6566"/>
            <w:vAlign w:val="center"/>
            <w:tcMar>
              <w:top w:w="90" w:type="dxa"/>
              <w:start w:w="110" w:type="dxa"/>
              <w:bottom w:w="90" w:type="dxa"/>
              <w:end w:w="110" w:type="dxa"/>
            </w:tcMar>
            <w:shd w:fill="F4F7FA"/>
          </w:tcPr>
          <w:p>
            <w:pPr>
              <w:spacing w:after="0" w:line="240" w:lineRule="auto"/>
              <w:jc w:val="left"/>
            </w:pPr>
            <w:r>
              <w:rPr>
                <w:rFonts w:ascii="Arial" w:hAnsi="Arial"/>
                <w:b w:val="0"/>
                <w:sz w:val="15"/>
              </w:rPr>
              <w:t>Exact event and remittance period</w:t>
            </w:r>
          </w:p>
        </w:tc>
      </w:tr>
      <w:tr>
        <w:tc>
          <w:tcPr>
            <w:tcW w:type="dxa" w:w="3427"/>
            <w:vAlign w:val="center"/>
            <w:tcMar>
              <w:top w:w="90" w:type="dxa"/>
              <w:start w:w="110" w:type="dxa"/>
              <w:bottom w:w="90" w:type="dxa"/>
              <w:end w:w="110" w:type="dxa"/>
            </w:tcMar>
          </w:tcPr>
          <w:p>
            <w:pPr>
              <w:spacing w:after="0" w:line="240" w:lineRule="auto"/>
              <w:jc w:val="left"/>
            </w:pPr>
            <w:r>
              <w:rPr>
                <w:rFonts w:ascii="Arial" w:hAnsi="Arial"/>
                <w:b w:val="0"/>
                <w:sz w:val="15"/>
              </w:rPr>
              <w:t>Renewals and expansions</w:t>
            </w:r>
          </w:p>
        </w:tc>
        <w:tc>
          <w:tcPr>
            <w:tcW w:type="dxa" w:w="6566"/>
            <w:vAlign w:val="center"/>
            <w:tcMar>
              <w:top w:w="90" w:type="dxa"/>
              <w:start w:w="110" w:type="dxa"/>
              <w:bottom w:w="90" w:type="dxa"/>
              <w:end w:w="110" w:type="dxa"/>
            </w:tcMar>
          </w:tcPr>
          <w:p>
            <w:pPr>
              <w:spacing w:after="0" w:line="240" w:lineRule="auto"/>
              <w:jc w:val="left"/>
            </w:pPr>
            <w:r>
              <w:rPr>
                <w:rFonts w:ascii="Arial" w:hAnsi="Arial"/>
                <w:b w:val="0"/>
                <w:sz w:val="15"/>
              </w:rPr>
              <w:t>Included scope and duration</w:t>
            </w:r>
          </w:p>
        </w:tc>
      </w:tr>
      <w:tr>
        <w:tc>
          <w:tcPr>
            <w:tcW w:type="dxa" w:w="3427"/>
            <w:vAlign w:val="center"/>
            <w:tcMar>
              <w:top w:w="90" w:type="dxa"/>
              <w:start w:w="110" w:type="dxa"/>
              <w:bottom w:w="90" w:type="dxa"/>
              <w:end w:w="110" w:type="dxa"/>
            </w:tcMar>
            <w:shd w:fill="F4F7FA"/>
          </w:tcPr>
          <w:p>
            <w:pPr>
              <w:spacing w:after="0" w:line="240" w:lineRule="auto"/>
              <w:jc w:val="left"/>
            </w:pPr>
            <w:r>
              <w:rPr>
                <w:rFonts w:ascii="Arial" w:hAnsi="Arial"/>
                <w:b w:val="0"/>
                <w:sz w:val="15"/>
              </w:rPr>
              <w:t>Exclusions and reversals</w:t>
            </w:r>
          </w:p>
        </w:tc>
        <w:tc>
          <w:tcPr>
            <w:tcW w:type="dxa" w:w="6566"/>
            <w:vAlign w:val="center"/>
            <w:tcMar>
              <w:top w:w="90" w:type="dxa"/>
              <w:start w:w="110" w:type="dxa"/>
              <w:bottom w:w="90" w:type="dxa"/>
              <w:end w:w="110" w:type="dxa"/>
            </w:tcMar>
            <w:shd w:fill="F4F7FA"/>
          </w:tcPr>
          <w:p>
            <w:pPr>
              <w:spacing w:after="0" w:line="240" w:lineRule="auto"/>
              <w:jc w:val="left"/>
            </w:pPr>
            <w:r>
              <w:rPr>
                <w:rFonts w:ascii="Arial" w:hAnsi="Arial"/>
                <w:b w:val="0"/>
                <w:sz w:val="15"/>
              </w:rPr>
              <w:t>Exact permitted items</w:t>
            </w:r>
          </w:p>
        </w:tc>
      </w:tr>
      <w:tr>
        <w:tc>
          <w:tcPr>
            <w:tcW w:type="dxa" w:w="3427"/>
            <w:vAlign w:val="center"/>
            <w:tcMar>
              <w:top w:w="90" w:type="dxa"/>
              <w:start w:w="110" w:type="dxa"/>
              <w:bottom w:w="90" w:type="dxa"/>
              <w:end w:w="110" w:type="dxa"/>
            </w:tcMar>
          </w:tcPr>
          <w:p>
            <w:pPr>
              <w:spacing w:after="0" w:line="240" w:lineRule="auto"/>
              <w:jc w:val="left"/>
            </w:pPr>
            <w:r>
              <w:rPr>
                <w:rFonts w:ascii="Arial" w:hAnsi="Arial"/>
                <w:b w:val="0"/>
                <w:sz w:val="15"/>
              </w:rPr>
              <w:t>Reporting source and frequency</w:t>
            </w:r>
          </w:p>
        </w:tc>
        <w:tc>
          <w:tcPr>
            <w:tcW w:type="dxa" w:w="6566"/>
            <w:vAlign w:val="center"/>
            <w:tcMar>
              <w:top w:w="90" w:type="dxa"/>
              <w:start w:w="110" w:type="dxa"/>
              <w:bottom w:w="90" w:type="dxa"/>
              <w:end w:w="110" w:type="dxa"/>
            </w:tcMar>
          </w:tcPr>
          <w:p>
            <w:pPr>
              <w:spacing w:after="0" w:line="240" w:lineRule="auto"/>
              <w:jc w:val="left"/>
            </w:pPr>
            <w:r>
              <w:rPr>
                <w:rFonts w:ascii="Arial" w:hAnsi="Arial"/>
                <w:b w:val="0"/>
                <w:sz w:val="15"/>
              </w:rPr>
              <w:t>System, report, due date, and owner</w:t>
            </w:r>
          </w:p>
        </w:tc>
      </w:tr>
      <w:tr>
        <w:tc>
          <w:tcPr>
            <w:tcW w:type="dxa" w:w="3427"/>
            <w:vAlign w:val="center"/>
            <w:tcMar>
              <w:top w:w="90" w:type="dxa"/>
              <w:start w:w="110" w:type="dxa"/>
              <w:bottom w:w="90" w:type="dxa"/>
              <w:end w:w="110" w:type="dxa"/>
            </w:tcMar>
            <w:shd w:fill="F4F7FA"/>
          </w:tcPr>
          <w:p>
            <w:pPr>
              <w:spacing w:after="0" w:line="240" w:lineRule="auto"/>
              <w:jc w:val="left"/>
            </w:pPr>
            <w:r>
              <w:rPr>
                <w:rFonts w:ascii="Arial" w:hAnsi="Arial"/>
                <w:b w:val="0"/>
                <w:sz w:val="15"/>
              </w:rPr>
              <w:t>Channel contact</w:t>
            </w:r>
          </w:p>
        </w:tc>
        <w:tc>
          <w:tcPr>
            <w:tcW w:type="dxa" w:w="6566"/>
            <w:vAlign w:val="center"/>
            <w:tcMar>
              <w:top w:w="90" w:type="dxa"/>
              <w:start w:w="110" w:type="dxa"/>
              <w:bottom w:w="90" w:type="dxa"/>
              <w:end w:w="110" w:type="dxa"/>
            </w:tcMar>
            <w:shd w:fill="F4F7FA"/>
          </w:tcPr>
          <w:p>
            <w:pPr>
              <w:spacing w:after="0" w:line="240" w:lineRule="auto"/>
              <w:jc w:val="left"/>
            </w:pPr>
            <w:r>
              <w:rPr>
                <w:rFonts w:ascii="Arial" w:hAnsi="Arial"/>
                <w:b w:val="0"/>
                <w:sz w:val="15"/>
              </w:rPr>
              <w:t>Name, title, organization, email, and phone</w:t>
            </w:r>
          </w:p>
        </w:tc>
      </w:tr>
      <w:tr>
        <w:tc>
          <w:tcPr>
            <w:tcW w:type="dxa" w:w="3427"/>
            <w:vAlign w:val="center"/>
            <w:tcMar>
              <w:top w:w="90" w:type="dxa"/>
              <w:start w:w="110" w:type="dxa"/>
              <w:bottom w:w="90" w:type="dxa"/>
              <w:end w:w="110" w:type="dxa"/>
            </w:tcMar>
          </w:tcPr>
          <w:p>
            <w:pPr>
              <w:spacing w:after="0" w:line="240" w:lineRule="auto"/>
              <w:jc w:val="left"/>
            </w:pPr>
            <w:r>
              <w:rPr>
                <w:rFonts w:ascii="Arial" w:hAnsi="Arial"/>
                <w:b w:val="0"/>
                <w:sz w:val="15"/>
              </w:rPr>
              <w:t>Supporting-document hash</w:t>
            </w:r>
          </w:p>
        </w:tc>
        <w:tc>
          <w:tcPr>
            <w:tcW w:type="dxa" w:w="6566"/>
            <w:vAlign w:val="center"/>
            <w:tcMar>
              <w:top w:w="90" w:type="dxa"/>
              <w:start w:w="110" w:type="dxa"/>
              <w:bottom w:w="90" w:type="dxa"/>
              <w:end w:w="110" w:type="dxa"/>
            </w:tcMar>
          </w:tcPr>
          <w:p>
            <w:pPr>
              <w:spacing w:after="0" w:line="240" w:lineRule="auto"/>
              <w:jc w:val="left"/>
            </w:pPr>
            <w:r>
              <w:rPr>
                <w:rFonts w:ascii="Arial" w:hAnsi="Arial"/>
                <w:b w:val="0"/>
                <w:sz w:val="15"/>
              </w:rPr>
              <w:t>Immutable hash and attachment identifier</w:t>
            </w:r>
          </w:p>
        </w:tc>
      </w:tr>
    </w:tbl>
    <w:p>
      <w:pPr>
        <w:spacing w:after="20"/>
      </w:pPr>
    </w:p>
    <w:p>
      <w:pPr>
        <w:pStyle w:val="Heading1"/>
      </w:pPr>
      <w:r>
        <w:rPr>
          <w:rFonts w:ascii="Arial" w:hAnsi="Arial"/>
          <w:b/>
          <w:color w:val="17365D"/>
          <w:sz w:val="22"/>
        </w:rPr>
        <w:t>4. Payment paths</w:t>
      </w:r>
    </w:p>
    <w:p>
      <w:pPr>
        <w:widowControl/>
        <w:spacing w:after="60" w:line="250" w:lineRule="auto"/>
      </w:pPr>
      <w:r>
        <w:rPr>
          <w:rFonts w:ascii="Arial" w:hAnsi="Arial"/>
          <w:sz w:val="18"/>
        </w:rPr>
        <w:t>4.1 If Vendor receives Commissionable Revenue or channel compensation, Vendor will report and remit the BEX share under the Commercial Terms Record.</w:t>
      </w:r>
    </w:p>
    <w:p>
      <w:pPr>
        <w:widowControl/>
        <w:spacing w:after="60" w:line="250" w:lineRule="auto"/>
      </w:pPr>
      <w:r>
        <w:rPr>
          <w:rFonts w:ascii="Arial" w:hAnsi="Arial"/>
          <w:sz w:val="18"/>
        </w:rPr>
        <w:t>4.2 If an approved supplier, distributor, carrier, TSD, or master agent pays BEX directly, Vendor remains responsible for accurate attribution and reporting but is not required to duplicate an amount BEX actually receives.</w:t>
      </w:r>
    </w:p>
    <w:p>
      <w:pPr>
        <w:widowControl/>
        <w:spacing w:after="60" w:line="250" w:lineRule="auto"/>
      </w:pPr>
      <w:r>
        <w:rPr>
          <w:rFonts w:ascii="Arial" w:hAnsi="Arial"/>
          <w:sz w:val="18"/>
        </w:rPr>
        <w:t>4.3 Vendor must promptly report a rejected order, disconnect, cancellation, clawback, rate dispute, missing residual, or channel-account change affecting BEX compensation.</w:t>
      </w:r>
    </w:p>
    <w:p>
      <w:pPr>
        <w:pStyle w:val="Heading1"/>
      </w:pPr>
      <w:r>
        <w:rPr>
          <w:rFonts w:ascii="Arial" w:hAnsi="Arial"/>
          <w:b/>
          <w:color w:val="17365D"/>
          <w:sz w:val="22"/>
        </w:rPr>
        <w:t>5. No unilateral reduction</w:t>
      </w:r>
    </w:p>
    <w:p>
      <w:pPr>
        <w:widowControl/>
        <w:spacing w:after="60" w:line="250" w:lineRule="auto"/>
      </w:pPr>
      <w:r>
        <w:rPr>
          <w:rFonts w:ascii="Arial" w:hAnsi="Arial"/>
          <w:sz w:val="18"/>
        </w:rPr>
        <w:t>Vendor may not reduce, redirect, waive, or substitute BEX compensation by changing a sales code, channel partner, fulfillment path, contracting affiliate, or upstream relationship without BEX's written approval.</w:t>
      </w:r>
    </w:p>
    <w:p>
      <w:pPr>
        <w:pStyle w:val="Heading1"/>
      </w:pPr>
      <w:r>
        <w:rPr>
          <w:rFonts w:ascii="Arial" w:hAnsi="Arial"/>
          <w:b/>
          <w:color w:val="17365D"/>
          <w:sz w:val="22"/>
        </w:rPr>
        <w:t>6. Reporting and reconciliation</w:t>
      </w:r>
    </w:p>
    <w:p>
      <w:pPr>
        <w:widowControl/>
        <w:spacing w:after="60" w:line="250" w:lineRule="auto"/>
      </w:pPr>
      <w:r>
        <w:rPr>
          <w:rFonts w:ascii="Arial" w:hAnsi="Arial"/>
          <w:sz w:val="18"/>
        </w:rPr>
        <w:t>The monthly report must include opportunity and customer identifiers, product or service, supplier or carrier, order and account numbers, activation date, billed and collected revenue where available, compensation basis, expected amount, paid amount, variance, clawback, and supporting statement reference.</w:t>
      </w:r>
    </w:p>
    <w:p>
      <w:pPr>
        <w:pStyle w:val="Heading1"/>
      </w:pPr>
      <w:r>
        <w:rPr>
          <w:rFonts w:ascii="Arial" w:hAnsi="Arial"/>
          <w:b/>
          <w:color w:val="17365D"/>
          <w:sz w:val="22"/>
        </w:rPr>
        <w:t>7. Renewals and expansions</w:t>
      </w:r>
    </w:p>
    <w:p>
      <w:pPr>
        <w:widowControl/>
        <w:spacing w:after="60" w:line="250" w:lineRule="auto"/>
      </w:pPr>
      <w:r>
        <w:rPr>
          <w:rFonts w:ascii="Arial" w:hAnsi="Arial"/>
          <w:sz w:val="18"/>
        </w:rPr>
        <w:t>Unless the Commercial Terms Record expressly and lawfully states otherwise, compensation applies to renewals, residuals, added products, new locations, upgrades, migrations, and Expansion Transactions involving the BEX-Originated Customer.</w:t>
      </w:r>
    </w:p>
    <w:p>
      <w:pPr>
        <w:pStyle w:val="Heading1"/>
      </w:pPr>
      <w:r>
        <w:rPr>
          <w:rFonts w:ascii="Arial" w:hAnsi="Arial"/>
          <w:b/>
          <w:color w:val="17365D"/>
          <w:sz w:val="22"/>
        </w:rPr>
        <w:t>8. Schedule-specific execution data</w:t>
      </w:r>
    </w:p>
    <w:p>
      <w:pPr>
        <w:widowControl/>
        <w:spacing w:after="60" w:line="250" w:lineRule="auto"/>
      </w:pPr>
      <w:r>
        <w:rPr>
          <w:rFonts w:ascii="Arial" w:hAnsi="Arial"/>
          <w:sz w:val="18"/>
        </w:rPr>
        <w:t>The execution record must include the completed Commercial Terms Record, immutable supporting-document references and hashes, approving BEX authority, any upstream confirmation, and the Master and Schedule content hashes.</w:t>
      </w:r>
    </w:p>
    <w:sectPr w:rsidR="00FC693F" w:rsidRPr="0006063C" w:rsidSect="00034616">
      <w:headerReference w:type="default" r:id="rId9"/>
      <w:footerReference w:type="default" r:id="rId10"/>
      <w:pgSz w:w="12240" w:h="15840"/>
      <w:pgMar w:top="1037" w:right="1123" w:bottom="979" w:left="1123"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rial" w:hAnsi="Arial"/>
        <w:color w:val="666666"/>
        <w:sz w:val="16"/>
      </w:rPr>
      <w:t xml:space="preserve">BizExchangeX | Confidential | Page </w:t>
    </w:r>
    <w:r>
      <w:rPr>
        <w:rFonts w:ascii="Arial" w:hAnsi="Arial"/>
        <w:color w:val="666666"/>
        <w:sz w:val="16"/>
      </w:rPr>
      <w:fldChar w:fldCharType="begin"/>
      <w:instrText xml:space="preserve">PAGE</w:instrText>
      <w:fldChar w:fldCharType="separate"/>
      <w:t>1</w:t>
      <w:fldChar w:fldCharType="end"/>
    </w:r>
    <w:r>
      <w:rPr>
        <w:rFonts w:ascii="Arial" w:hAnsi="Arial"/>
        <w:color w:val="666666"/>
        <w:sz w:val="16"/>
      </w:rPr>
      <w:t xml:space="preserve"> of </w:t>
    </w:r>
    <w:r>
      <w:rPr>
        <w:rFonts w:ascii="Arial" w:hAnsi="Arial"/>
        <w:color w:val="666666"/>
        <w:sz w:val="16"/>
      </w:rP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Bdr>
        <w:bottom w:val="single" w:sz="6" w:space="3" w:color="E7E6E6"/>
      </w:pBdr>
    </w:pPr>
    <w:r>
      <w:rPr>
        <w:rFonts w:ascii="Arial" w:hAnsi="Arial"/>
        <w:b/>
        <w:color w:val="666666"/>
        <w:sz w:val="15"/>
      </w:rPr>
      <w:t>BizExchangeX | Schedule C | Direct Vendor / Distributor / Carrier | Version 2</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60" w:line="250" w:lineRule="auto"/>
    </w:pPr>
    <w:rPr>
      <w:rFonts w:ascii="Arial" w:hAnsi="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40" w:after="50" w:line="240" w:lineRule="auto"/>
      <w:outlineLvl w:val="0"/>
    </w:pPr>
    <w:rPr>
      <w:rFonts w:asciiTheme="majorHAnsi" w:eastAsiaTheme="majorEastAsia" w:hAnsiTheme="majorHAnsi" w:cstheme="majorBidi" w:ascii="Arial" w:hAnsi="Arial"/>
      <w:b/>
      <w:bCs/>
      <w:color w:val="17365D"/>
      <w:sz w:val="22"/>
      <w:szCs w:val="28"/>
    </w:rPr>
  </w:style>
  <w:style w:type="paragraph" w:styleId="Heading2">
    <w:name w:val="heading 2"/>
    <w:basedOn w:val="Normal"/>
    <w:next w:val="Normal"/>
    <w:link w:val="Heading2Char"/>
    <w:uiPriority w:val="9"/>
    <w:unhideWhenUsed/>
    <w:qFormat/>
    <w:rsid w:val="00FC693F"/>
    <w:pPr>
      <w:keepNext/>
      <w:keepLines/>
      <w:spacing w:before="80" w:after="50" w:line="240" w:lineRule="auto"/>
      <w:outlineLvl w:val="1"/>
    </w:pPr>
    <w:rPr>
      <w:rFonts w:asciiTheme="majorHAnsi" w:eastAsiaTheme="majorEastAsia" w:hAnsiTheme="majorHAnsi" w:cstheme="majorBidi" w:ascii="Arial" w:hAnsi="Arial"/>
      <w:b/>
      <w:bCs/>
      <w:color w:val="2F5597"/>
      <w:sz w:val="19"/>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