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40"/>
        <w:jc w:val="left"/>
      </w:pPr>
      <w:r>
        <w:rPr>
          <w:rFonts w:ascii="Arial" w:hAnsi="Arial"/>
          <w:b/>
          <w:color w:val="17365D"/>
          <w:sz w:val="36"/>
        </w:rPr>
        <w:t>BizExchangeX Vendor Participation Agreement</w:t>
      </w:r>
    </w:p>
    <w:p>
      <w:pPr>
        <w:keepNext/>
        <w:spacing w:after="20"/>
      </w:pPr>
      <w:r>
        <w:rPr>
          <w:rFonts w:ascii="Arial" w:hAnsi="Arial"/>
          <w:b/>
          <w:color w:val="2F5597"/>
          <w:sz w:val="23"/>
        </w:rPr>
        <w:t>Schedule F | Financial Services and Fintech Commission</w:t>
      </w:r>
    </w:p>
    <w:p>
      <w:pPr>
        <w:keepNext/>
        <w:spacing w:after="160"/>
      </w:pPr>
      <w:r>
        <w:rPr>
          <w:rFonts w:ascii="Arial" w:hAnsi="Arial"/>
          <w:b/>
          <w:color w:val="666666"/>
          <w:sz w:val="17"/>
        </w:rPr>
        <w:t>Version 1.1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This Schedule is incorporated into the BizExchangeX Master Vendor Participation Agreement (the "Master Agreement"). Capitalized terms not defined here have the meanings in the Master Agreement.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1. Eligibility and regulated-profession gate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1.1 This Schedule applies only to approved B2B financial services, including commercial equipment leasing, merchant processing systems, corporate expense management tools, working capital platforms, and similar non-securities fintech services.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1.2 This Schedule expressly excludes securities, investment advisory, broker-dealer activities, insurance placement, consumer lending, or any activity requiring SEC, FINRA, CFTC, or state securities licensing. Vendor must maintain all required licenses and comply with applicable regulations.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1.3 BEX is a pure marketplace platform and does not act as a lender, broker, investment adviser, bank, or money transmitter.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2. Commission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BEX Commission is a flat monthly platform facilitation fee based on the client company's annual revenue tier at the time of engagement, as follows:</w:t>
      </w:r>
    </w:p>
    <w:tbl>
      <w:tblPr>
        <w:tblStyle w:val="TableGrid"/>
        <w:tblW w:type="dxa" w:w="999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112"/>
        <w:gridCol w:w="4881"/>
      </w:tblGrid>
      <w:tr>
        <w:trPr>
          <w:tblHeader w:val="true"/>
        </w:trPr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Client Annual Revenue</w:t>
            </w:r>
          </w:p>
        </w:tc>
        <w:tc>
          <w:tcPr>
            <w:tcW w:type="dxa" w:w="48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Monthly Platform Fee (to BEX)</w:t>
            </w:r>
          </w:p>
        </w:tc>
      </w:tr>
      <w:tr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&lt; $5M</w:t>
            </w:r>
          </w:p>
        </w:tc>
        <w:tc>
          <w:tcPr>
            <w:tcW w:type="dxa" w:w="48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$100</w:t>
            </w:r>
          </w:p>
        </w:tc>
      </w:tr>
      <w:tr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$5M – $25M</w:t>
            </w:r>
          </w:p>
        </w:tc>
        <w:tc>
          <w:tcPr>
            <w:tcW w:type="dxa" w:w="48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$300</w:t>
            </w:r>
          </w:p>
        </w:tc>
      </w:tr>
      <w:tr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$25M – $100M</w:t>
            </w:r>
          </w:p>
        </w:tc>
        <w:tc>
          <w:tcPr>
            <w:tcW w:type="dxa" w:w="48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$600</w:t>
            </w:r>
          </w:p>
        </w:tc>
      </w:tr>
      <w:tr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$100M+</w:t>
            </w:r>
          </w:p>
        </w:tc>
        <w:tc>
          <w:tcPr>
            <w:tcW w:type="dxa" w:w="48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7"/>
              </w:rPr>
              <w:t>$1500</w:t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2"/>
        </w:rPr>
        <w:t>3. Permitted Scope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Vendor is responsible for all compliance, suitability, disclosures, and performance of services. BEX provides only the marketplace introduction and platform tools.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4. Representations and Compliance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4.1 Vendor represents it is properly licensed and will comply with SEC, FINRA, CFTC, state lending laws, and all applicable regulations.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4.2 Vendor will not characterize BEX as a financial services provider, lender, or adviser.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4.3 Vendor indemnifies BEX for any regulatory claims arising from Vendor's services or licensing.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5. Reporting and payment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The monthly report must identify the BEX opportunity, customer, engagement, fee calculation, and remittance. Commission is payable under the Master Agreement terms.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6. Renewals and expansions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The flat fee structure applies to renewals and Expansion Transactions involving the BEX-Originated Customer.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7. Schedule-specific execution data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The immutable execution record must state the approved services, license details, counsel-clearance reference, fee tier structure, and content hashes.</w:t>
      </w:r>
    </w:p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79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/>
        <w:color w:val="666666"/>
        <w:sz w:val="16"/>
      </w:rPr>
      <w:t xml:space="preserve">BizExchangeX | Confidential | Page </w:t>
    </w:r>
    <w:r>
      <w:rPr>
        <w:rFonts w:ascii="Arial" w:hAnsi="Arial"/>
        <w:color w:val="666666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/>
        <w:color w:val="666666"/>
        <w:sz w:val="16"/>
      </w:rPr>
      <w:t xml:space="preserve"> of </w:t>
    </w:r>
    <w:r>
      <w:rPr>
        <w:rFonts w:ascii="Arial" w:hAnsi="Arial"/>
        <w:color w:val="666666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  <w:pBdr>
        <w:bottom w:val="single" w:sz="6" w:space="3" w:color="E7E6E6"/>
      </w:pBdr>
    </w:pPr>
    <w:r>
      <w:rPr>
        <w:rFonts w:ascii="Arial" w:hAnsi="Arial"/>
        <w:b/>
        <w:color w:val="666666"/>
        <w:sz w:val="15"/>
      </w:rPr>
      <w:t>BizExchangeX | Schedule F | Financial Services / Fintech | Version 1.1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50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50" w:line="240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2F5597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